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pPr>
      <w:r>
        <w:rPr>
          <w:rFonts w:ascii="Arial" w:cs="Arial" w:eastAsia="Arial" w:hAnsi="Arial"/>
          <w:b/>
          <w:bCs/>
          <w:caps/>
          <w:color w:val="2563A8"/>
          <w:sz w:val="18"/>
          <w:szCs w:val="18"/>
        </w:rPr>
        <w:t xml:space="preserve">ARTICLE 2.2  ·  SECTION 2: ISO 20000 REQUIREMENTS</w:t>
      </w:r>
    </w:p>
    <w:p>
      <w:pPr>
        <w:spacing w:after="120"/>
      </w:pPr>
      <w:r>
        <w:rPr>
          <w:rFonts w:ascii="Arial" w:cs="Arial" w:eastAsia="Arial" w:hAnsi="Arial"/>
          <w:b/>
          <w:bCs/>
          <w:caps w:val="false"/>
          <w:color w:val="1B3A5C"/>
          <w:sz w:val="44"/>
          <w:szCs w:val="44"/>
        </w:rPr>
        <w:t xml:space="preserve">Clause 5: Leadership and Commitment</w:t>
      </w:r>
    </w:p>
    <w:p>
      <w:pPr>
        <w:spacing w:after="60"/>
      </w:pPr>
      <w:r>
        <w:rPr>
          <w:rFonts w:ascii="Georgia" w:cs="Georgia" w:eastAsia="Georgia" w:hAnsi="Georgia"/>
          <w:b w:val="false"/>
          <w:bCs w:val="false"/>
          <w:color w:val="4B5563"/>
          <w:sz w:val="24"/>
          <w:szCs w:val="24"/>
        </w:rPr>
        <w:t xml:space="preserve">Top management's role in the SMS — the service management policy, organizational roles and responsibilities, demonstrating leadership through resource allocation and governance engagement, and why effective service management requires board-level ownership.</w:t>
      </w:r>
    </w:p>
    <w:p>
      <w:pPr>
        <w:spacing w:after="40"/>
      </w:pPr>
      <w:r>
        <w:rPr>
          <w:rFonts w:ascii="Arial" w:cs="Arial" w:eastAsia="Arial" w:hAnsi="Arial"/>
          <w:b w:val="false"/>
          <w:bCs w:val="false"/>
          <w:caps w:val="false"/>
          <w:color w:val="9CA3AF"/>
          <w:sz w:val="18"/>
          <w:szCs w:val="18"/>
        </w:rPr>
        <w:t xml:space="preserve">Bitlion GRC Documentation  ·  Updated April 2026  ·  Reading time: ~12 min read</w:t>
      </w:r>
    </w:p>
    <w:p>
      <w:pPr>
        <w:pBdr>
          <w:bottom w:val="single" w:color="D1D5DB" w:sz="2" w:space="1"/>
        </w:pBdr>
        <w:spacing w:after="200" w:before="200"/>
      </w:pPr>
      <w:r>
        <w:t xml:space="preserve"/>
      </w:r>
    </w:p>
    <w:p>
      <w:pPr>
        <w:spacing w:after="10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Introduction: Why Leadership Determines SMS Success</w:t>
      </w:r>
    </w:p>
    <w:p>
      <w:pPr>
        <w:spacing w:after="160" w:line="320"/>
        <w:jc w:val="both"/>
      </w:pPr>
      <w:r>
        <w:rPr>
          <w:rFonts w:ascii="Georgia" w:cs="Georgia" w:eastAsia="Georgia" w:hAnsi="Georgia"/>
          <w:b w:val="false"/>
          <w:bCs w:val="false"/>
          <w:color w:val="111827"/>
          <w:sz w:val="22"/>
          <w:szCs w:val="22"/>
        </w:rPr>
        <w:t xml:space="preserve">ISO 20000 Clause 5 embodies a fundamental principle: service management systems fail when leadership is nominal rather than genuine. Organizations can document processes, allocate budgets, and train staff, but if top management views the SMS as a compliance checkbox rather than a strategic imperative, the system will be ignored, poorly resourced, and ultimately ineffective. Clause 5 places specific, testable obligations on top management—not the IT director alone or the SMS team, but the organizational level that controls strategy, resources, and accountability. An auditor evaluating Clause 5 does not interview the SMS manager; they interview the CEO, the board, and the executive team to assess whether leadership actually owns the SMS.</w:t>
      </w:r>
    </w:p>
    <w:p>
      <w:pPr>
        <w:pBdr>
          <w:bottom w:val="single" w:color="2563A8" w:sz="4" w:space="4"/>
        </w:pBdr>
        <w:spacing w:after="160" w:before="400"/>
      </w:pPr>
      <w:r>
        <w:rPr>
          <w:rFonts w:ascii="Arial" w:cs="Arial" w:eastAsia="Arial" w:hAnsi="Arial"/>
          <w:b/>
          <w:bCs/>
          <w:caps w:val="false"/>
          <w:color w:val="1B3A5C"/>
          <w:sz w:val="28"/>
          <w:szCs w:val="28"/>
        </w:rPr>
        <w:t xml:space="preserve">Clause 5.1: Leadership and Commitment—Eight Specific Demonstrations</w:t>
      </w:r>
    </w:p>
    <w:p>
      <w:pPr>
        <w:spacing w:after="160" w:line="320"/>
        <w:jc w:val="both"/>
      </w:pPr>
      <w:r>
        <w:rPr>
          <w:rFonts w:ascii="Georgia" w:cs="Georgia" w:eastAsia="Georgia" w:hAnsi="Georgia"/>
          <w:b w:val="false"/>
          <w:bCs w:val="false"/>
          <w:color w:val="111827"/>
          <w:sz w:val="22"/>
          <w:szCs w:val="22"/>
        </w:rPr>
        <w:t xml:space="preserve">Clause 5.1 requires that top management demonstrate commitment to the SMS through eight specific actions. These are not optional; each must be evidenced during audit.</w:t>
      </w:r>
    </w:p>
    <w:p>
      <w:pPr>
        <w:spacing w:after="80" w:before="200"/>
      </w:pPr>
      <w:r>
        <w:rPr>
          <w:rFonts w:ascii="Arial" w:cs="Arial" w:eastAsia="Arial" w:hAnsi="Arial"/>
          <w:b/>
          <w:bCs/>
          <w:caps w:val="false"/>
          <w:color w:val="1B3A5C"/>
          <w:sz w:val="22"/>
          <w:szCs w:val="22"/>
        </w:rPr>
        <w:t xml:space="preserve">1. Establishing the Service Management Policy</w:t>
      </w:r>
    </w:p>
    <w:p>
      <w:pPr>
        <w:spacing w:after="160" w:line="320"/>
        <w:jc w:val="both"/>
      </w:pPr>
      <w:r>
        <w:rPr>
          <w:rFonts w:ascii="Georgia" w:cs="Georgia" w:eastAsia="Georgia" w:hAnsi="Georgia"/>
          <w:b w:val="false"/>
          <w:bCs w:val="false"/>
          <w:color w:val="111827"/>
          <w:sz w:val="22"/>
          <w:szCs w:val="22"/>
        </w:rPr>
        <w:t xml:space="preserve">Top management must establish a service management policy that explicitly commits the organization to meeting service requirements and to continual improvement of the SMS. The policy is not a detailed procedure; it is a high-level statement of intent signed by the most senior leader. It must be appropriate to the organization's purpose (not generic or boilerplate), communicated internally to all staff, and made available to interested parties (customers, regulators) who request it.</w:t>
      </w:r>
    </w:p>
    <w:p>
      <w:pPr>
        <w:spacing w:after="80" w:before="200"/>
      </w:pPr>
      <w:r>
        <w:rPr>
          <w:rFonts w:ascii="Arial" w:cs="Arial" w:eastAsia="Arial" w:hAnsi="Arial"/>
          <w:b/>
          <w:bCs/>
          <w:caps w:val="false"/>
          <w:color w:val="1B3A5C"/>
          <w:sz w:val="22"/>
          <w:szCs w:val="22"/>
        </w:rPr>
        <w:t xml:space="preserve">2. Ensuring Integration with Business Processes</w:t>
      </w:r>
    </w:p>
    <w:p>
      <w:pPr>
        <w:spacing w:after="160" w:line="320"/>
        <w:jc w:val="both"/>
      </w:pPr>
      <w:r>
        <w:rPr>
          <w:rFonts w:ascii="Georgia" w:cs="Georgia" w:eastAsia="Georgia" w:hAnsi="Georgia"/>
          <w:b w:val="false"/>
          <w:bCs w:val="false"/>
          <w:color w:val="111827"/>
          <w:sz w:val="22"/>
          <w:szCs w:val="22"/>
        </w:rPr>
        <w:t xml:space="preserve">The SMS must be integrated into the organization's core business processes and operations, not exist as an isolated IT function. Top management must ensure that service management considers how customers are acquired, how services are designed, how technology investments are justified, and how organizational strategy is executed. If the business strategy changes direction, the SMS must adapt. If customer expectations shift, service management must respond. This integration is primarily demonstrated through the service management plan and through evidence that business and IT leaders jointly set service objectives.</w:t>
      </w:r>
    </w:p>
    <w:p>
      <w:pPr>
        <w:spacing w:after="80" w:before="200"/>
      </w:pPr>
      <w:r>
        <w:rPr>
          <w:rFonts w:ascii="Arial" w:cs="Arial" w:eastAsia="Arial" w:hAnsi="Arial"/>
          <w:b/>
          <w:bCs/>
          <w:caps w:val="false"/>
          <w:color w:val="1B3A5C"/>
          <w:sz w:val="22"/>
          <w:szCs w:val="22"/>
        </w:rPr>
        <w:t xml:space="preserve">3. Determining and Providing Resources</w:t>
      </w:r>
    </w:p>
    <w:p>
      <w:pPr>
        <w:spacing w:after="160" w:line="320"/>
        <w:jc w:val="both"/>
      </w:pPr>
      <w:r>
        <w:rPr>
          <w:rFonts w:ascii="Georgia" w:cs="Georgia" w:eastAsia="Georgia" w:hAnsi="Georgia"/>
          <w:b w:val="false"/>
          <w:bCs w:val="false"/>
          <w:color w:val="111827"/>
          <w:sz w:val="22"/>
          <w:szCs w:val="22"/>
        </w:rPr>
        <w:t xml:space="preserve">Top management must ensure the SMS has adequate resources: people, budget, tools, infrastructure, and skills. This is not a one-time decision but an ongoing governance question. If the organization adds new services, SMS resources must increase. If a critical tool fails, replacements must be funded. Resource adequacy is evaluated by looking at budget allocations, staffing plans, tool procurement records, and training schedules. An SMS team that is perpetually under-resourced while business demands grow is a symptom of weak top management commitment.</w:t>
      </w:r>
    </w:p>
    <w:p>
      <w:pPr>
        <w:spacing w:after="80" w:before="200"/>
      </w:pPr>
      <w:r>
        <w:rPr>
          <w:rFonts w:ascii="Arial" w:cs="Arial" w:eastAsia="Arial" w:hAnsi="Arial"/>
          <w:b/>
          <w:bCs/>
          <w:caps w:val="false"/>
          <w:color w:val="1B3A5C"/>
          <w:sz w:val="22"/>
          <w:szCs w:val="22"/>
        </w:rPr>
        <w:t xml:space="preserve">4. Communicating the Importance of Service Management</w:t>
      </w:r>
    </w:p>
    <w:p>
      <w:pPr>
        <w:spacing w:after="160" w:line="320"/>
        <w:jc w:val="both"/>
      </w:pPr>
      <w:r>
        <w:rPr>
          <w:rFonts w:ascii="Georgia" w:cs="Georgia" w:eastAsia="Georgia" w:hAnsi="Georgia"/>
          <w:b w:val="false"/>
          <w:bCs w:val="false"/>
          <w:color w:val="111827"/>
          <w:sz w:val="22"/>
          <w:szCs w:val="22"/>
        </w:rPr>
        <w:t xml:space="preserve">Top management must communicate to the organization why service management matters. This is not a one-time email; it is ongoing communication through multiple channels: town halls, team meetings, induction training, policy distribution, management review forums. The message is that service management is a core responsibility of everyone in the organization, not just IT. When customers expect a new service to be launched, when a change needs to be made, when an incident occurs—these are all service management moments. Employees must understand their role and why it matters.</w:t>
      </w:r>
    </w:p>
    <w:p>
      <w:pPr>
        <w:spacing w:after="80" w:before="200"/>
      </w:pPr>
      <w:r>
        <w:rPr>
          <w:rFonts w:ascii="Arial" w:cs="Arial" w:eastAsia="Arial" w:hAnsi="Arial"/>
          <w:b/>
          <w:bCs/>
          <w:caps w:val="false"/>
          <w:color w:val="1B3A5C"/>
          <w:sz w:val="22"/>
          <w:szCs w:val="22"/>
        </w:rPr>
        <w:t xml:space="preserve">5. Achieving Intended Outcomes</w:t>
      </w:r>
    </w:p>
    <w:p>
      <w:pPr>
        <w:spacing w:after="160" w:line="320"/>
        <w:jc w:val="both"/>
      </w:pPr>
      <w:r>
        <w:rPr>
          <w:rFonts w:ascii="Georgia" w:cs="Georgia" w:eastAsia="Georgia" w:hAnsi="Georgia"/>
          <w:b w:val="false"/>
          <w:bCs w:val="false"/>
          <w:color w:val="111827"/>
          <w:sz w:val="22"/>
          <w:szCs w:val="22"/>
        </w:rPr>
        <w:t xml:space="preserve">The SMS is established to achieve specific intended outcomes: reducing service outages, faster change deployment, cost control, security resilience, or customer satisfaction improvements. Top management must demonstrate that they monitor whether these outcomes are being achieved and take action when they are not. This is primarily evidenced through management review meetings where SMS performance is assessed against objectives.</w:t>
      </w:r>
    </w:p>
    <w:p>
      <w:pPr>
        <w:spacing w:after="80" w:before="200"/>
      </w:pPr>
      <w:r>
        <w:rPr>
          <w:rFonts w:ascii="Arial" w:cs="Arial" w:eastAsia="Arial" w:hAnsi="Arial"/>
          <w:b/>
          <w:bCs/>
          <w:caps w:val="false"/>
          <w:color w:val="1B3A5C"/>
          <w:sz w:val="22"/>
          <w:szCs w:val="22"/>
        </w:rPr>
        <w:t xml:space="preserve">6. Directing and Supporting People</w:t>
      </w:r>
    </w:p>
    <w:p>
      <w:pPr>
        <w:spacing w:after="160" w:line="320"/>
        <w:jc w:val="both"/>
      </w:pPr>
      <w:r>
        <w:rPr>
          <w:rFonts w:ascii="Georgia" w:cs="Georgia" w:eastAsia="Georgia" w:hAnsi="Georgia"/>
          <w:b w:val="false"/>
          <w:bCs w:val="false"/>
          <w:color w:val="111827"/>
          <w:sz w:val="22"/>
          <w:szCs w:val="22"/>
        </w:rPr>
        <w:t xml:space="preserve">Top management must direct service management activities (through clear objectives and governance) and support the people who execute them. Support means providing adequate training, removing obstacles, recognizing good performance, and holding people accountable for service management responsibilities. A top management team that sets ambitious service objectives but provides no support for staff to achieve them is not genuinely committed.</w:t>
      </w:r>
    </w:p>
    <w:p>
      <w:pPr>
        <w:spacing w:after="80" w:before="200"/>
      </w:pPr>
      <w:r>
        <w:rPr>
          <w:rFonts w:ascii="Arial" w:cs="Arial" w:eastAsia="Arial" w:hAnsi="Arial"/>
          <w:b/>
          <w:bCs/>
          <w:caps w:val="false"/>
          <w:color w:val="1B3A5C"/>
          <w:sz w:val="22"/>
          <w:szCs w:val="22"/>
        </w:rPr>
        <w:t xml:space="preserve">7. Promoting Continual Improvement</w:t>
      </w:r>
    </w:p>
    <w:p>
      <w:pPr>
        <w:spacing w:after="160" w:line="320"/>
        <w:jc w:val="both"/>
      </w:pPr>
      <w:r>
        <w:rPr>
          <w:rFonts w:ascii="Georgia" w:cs="Georgia" w:eastAsia="Georgia" w:hAnsi="Georgia"/>
          <w:b w:val="false"/>
          <w:bCs w:val="false"/>
          <w:color w:val="111827"/>
          <w:sz w:val="22"/>
          <w:szCs w:val="22"/>
        </w:rPr>
        <w:t xml:space="preserve">Service management must continuously improve: processes must become more efficient, services must better meet customer needs, incident and problem solving must become more effective. Top management must create an environment where continuous improvement is expected and resourced. This includes appointing someone responsible for driving improvements, allocating budget for improvement projects, and reviewing improvement initiatives in management meetings.</w:t>
      </w:r>
    </w:p>
    <w:p>
      <w:pPr>
        <w:spacing w:after="80" w:before="200"/>
      </w:pPr>
      <w:r>
        <w:rPr>
          <w:rFonts w:ascii="Arial" w:cs="Arial" w:eastAsia="Arial" w:hAnsi="Arial"/>
          <w:b/>
          <w:bCs/>
          <w:caps w:val="false"/>
          <w:color w:val="1B3A5C"/>
          <w:sz w:val="22"/>
          <w:szCs w:val="22"/>
        </w:rPr>
        <w:t xml:space="preserve">8. Supporting Other Managers</w:t>
      </w:r>
    </w:p>
    <w:p>
      <w:pPr>
        <w:spacing w:after="160" w:line="320"/>
        <w:jc w:val="both"/>
      </w:pPr>
      <w:r>
        <w:rPr>
          <w:rFonts w:ascii="Georgia" w:cs="Georgia" w:eastAsia="Georgia" w:hAnsi="Georgia"/>
          <w:b w:val="false"/>
          <w:bCs w:val="false"/>
          <w:color w:val="111827"/>
          <w:sz w:val="22"/>
          <w:szCs w:val="22"/>
        </w:rPr>
        <w:t xml:space="preserve">Top management must visibly support service management at all organizational levels. This means that when department heads or service managers make service management decisions (approving a change, investigating an incident, implementing a new process), they do so with confidence that top management backs them. Support is demonstrated through participation in governance forums, directing resources toward service management initiatives, and publicly reinforcing its importance.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KEY CONCEPT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Top management commitment is not demonstrated by a signed policy document alone. Auditors look for evidence across eight dimensions: policy establishment, business integration, resource provision, communication, outcome achievement, people direction, continual improvement, and manager support. Weakness in any one dimension is a Clause 5 finding.</w:t>
            </w:r>
          </w:p>
        </w:tc>
      </w:tr>
    </w:tbl>
    <w:p>
      <w:pPr>
        <w:pBdr>
          <w:bottom w:val="single" w:color="2563A8" w:sz="4" w:space="4"/>
        </w:pBdr>
        <w:spacing w:after="160" w:before="400"/>
      </w:pPr>
      <w:r>
        <w:rPr>
          <w:rFonts w:ascii="Arial" w:cs="Arial" w:eastAsia="Arial" w:hAnsi="Arial"/>
          <w:b/>
          <w:bCs/>
          <w:caps w:val="false"/>
          <w:color w:val="1B3A5C"/>
          <w:sz w:val="28"/>
          <w:szCs w:val="28"/>
        </w:rPr>
        <w:t xml:space="preserve">Clause 5.2: Service Management Policy</w:t>
      </w:r>
    </w:p>
    <w:p>
      <w:pPr>
        <w:spacing w:after="160" w:line="320"/>
        <w:jc w:val="both"/>
      </w:pPr>
      <w:r>
        <w:rPr>
          <w:rFonts w:ascii="Georgia" w:cs="Georgia" w:eastAsia="Georgia" w:hAnsi="Georgia"/>
          <w:b w:val="false"/>
          <w:bCs w:val="false"/>
          <w:color w:val="111827"/>
          <w:sz w:val="22"/>
          <w:szCs w:val="22"/>
        </w:rPr>
        <w:t xml:space="preserve">The service management policy is a formal, signed statement from the most senior leader of the organization (or the most senior leader within the SMS scope if it is a multi-division organization). The policy must be appropriate to the organization's purpose and context. A boilerplate policy copied from a standard template will fail audit if it makes claims the organization does not genuinely support.</w:t>
      </w:r>
    </w:p>
    <w:p>
      <w:pPr>
        <w:spacing w:after="80" w:before="200"/>
      </w:pPr>
      <w:r>
        <w:rPr>
          <w:rFonts w:ascii="Arial" w:cs="Arial" w:eastAsia="Arial" w:hAnsi="Arial"/>
          <w:b/>
          <w:bCs/>
          <w:caps w:val="false"/>
          <w:color w:val="1B3A5C"/>
          <w:sz w:val="22"/>
          <w:szCs w:val="22"/>
        </w:rPr>
        <w:t xml:space="preserve">Required Content</w:t>
      </w:r>
    </w:p>
    <w:p>
      <w:pPr>
        <w:spacing w:after="160" w:line="320"/>
        <w:jc w:val="both"/>
      </w:pPr>
      <w:r>
        <w:rPr>
          <w:rFonts w:ascii="Georgia" w:cs="Georgia" w:eastAsia="Georgia" w:hAnsi="Georgia"/>
          <w:b w:val="false"/>
          <w:bCs w:val="false"/>
          <w:color w:val="111827"/>
          <w:sz w:val="22"/>
          <w:szCs w:val="22"/>
        </w:rPr>
        <w:t xml:space="preserve">The policy must contain at minimum:</w:t>
      </w:r>
    </w:p>
    <w:p>
      <w:pPr>
        <w:spacing w:after="160" w:line="320"/>
        <w:jc w:val="both"/>
      </w:pPr>
      <w:r>
        <w:rPr>
          <w:rFonts w:ascii="Georgia" w:cs="Georgia" w:eastAsia="Georgia" w:hAnsi="Georgia"/>
          <w:b w:val="false"/>
          <w:bCs w:val="false"/>
          <w:color w:val="111827"/>
          <w:sz w:val="22"/>
          <w:szCs w:val="22"/>
        </w:rPr>
        <w:t xml:space="preserve">• A commitment to meet service requirements (defined in SLAs, customer contracts, and regulatory mandates)</w:t>
      </w:r>
    </w:p>
    <w:p>
      <w:pPr>
        <w:spacing w:after="160" w:line="320"/>
        <w:jc w:val="both"/>
      </w:pPr>
      <w:r>
        <w:rPr>
          <w:rFonts w:ascii="Georgia" w:cs="Georgia" w:eastAsia="Georgia" w:hAnsi="Georgia"/>
          <w:b w:val="false"/>
          <w:bCs w:val="false"/>
          <w:color w:val="111827"/>
          <w:sz w:val="22"/>
          <w:szCs w:val="22"/>
        </w:rPr>
        <w:t xml:space="preserve">• A commitment to continual improvement of the SMS itself (not just incremental service improvements, but evolution of the management system)</w:t>
      </w:r>
    </w:p>
    <w:p>
      <w:pPr>
        <w:spacing w:after="160" w:line="320"/>
        <w:jc w:val="both"/>
      </w:pPr>
      <w:r>
        <w:rPr>
          <w:rFonts w:ascii="Georgia" w:cs="Georgia" w:eastAsia="Georgia" w:hAnsi="Georgia"/>
          <w:b w:val="false"/>
          <w:bCs w:val="false"/>
          <w:color w:val="111827"/>
          <w:sz w:val="22"/>
          <w:szCs w:val="22"/>
        </w:rPr>
        <w:t xml:space="preserve">• Any additional commitments the organization deems important (security focus, cost control, customer satisfaction, innovation)</w:t>
      </w:r>
    </w:p>
    <w:p>
      <w:pPr>
        <w:spacing w:after="80" w:before="200"/>
      </w:pPr>
      <w:r>
        <w:rPr>
          <w:rFonts w:ascii="Arial" w:cs="Arial" w:eastAsia="Arial" w:hAnsi="Arial"/>
          <w:b/>
          <w:bCs/>
          <w:caps w:val="false"/>
          <w:color w:val="1B3A5C"/>
          <w:sz w:val="22"/>
          <w:szCs w:val="22"/>
        </w:rPr>
        <w:t xml:space="preserve">How the Policy Differs from Procedures</w:t>
      </w:r>
    </w:p>
    <w:p>
      <w:pPr>
        <w:spacing w:after="160" w:line="320"/>
        <w:jc w:val="both"/>
      </w:pPr>
      <w:r>
        <w:rPr>
          <w:rFonts w:ascii="Georgia" w:cs="Georgia" w:eastAsia="Georgia" w:hAnsi="Georgia"/>
          <w:b w:val="false"/>
          <w:bCs w:val="false"/>
          <w:color w:val="111827"/>
          <w:sz w:val="22"/>
          <w:szCs w:val="22"/>
        </w:rPr>
        <w:t xml:space="preserve">A common mistake is to write a policy that is actually a 10-page procedure manual. The policy should be a one- or two-page statement that any employee can read and understand. It should answer: "What is the organization committed to? Why does service management matter? What will top management do to support it?" Detailed procedures for how to implement the policy belong in separate documents (service management plan, procedures, work instructions).</w:t>
      </w:r>
    </w:p>
    <w:p>
      <w:pPr>
        <w:spacing w:after="80" w:before="200"/>
      </w:pPr>
      <w:r>
        <w:rPr>
          <w:rFonts w:ascii="Arial" w:cs="Arial" w:eastAsia="Arial" w:hAnsi="Arial"/>
          <w:b/>
          <w:bCs/>
          <w:caps w:val="false"/>
          <w:color w:val="1B3A5C"/>
          <w:sz w:val="22"/>
          <w:szCs w:val="22"/>
        </w:rPr>
        <w:t xml:space="preserve">Communicating and Maintaining the Policy</w:t>
      </w:r>
    </w:p>
    <w:p>
      <w:pPr>
        <w:spacing w:after="160" w:line="320"/>
        <w:jc w:val="both"/>
      </w:pPr>
      <w:r>
        <w:rPr>
          <w:rFonts w:ascii="Georgia" w:cs="Georgia" w:eastAsia="Georgia" w:hAnsi="Georgia"/>
          <w:b w:val="false"/>
          <w:bCs w:val="false"/>
          <w:color w:val="111827"/>
          <w:sz w:val="22"/>
          <w:szCs w:val="22"/>
        </w:rPr>
        <w:t xml:space="preserve">The policy must be formally communicated to all people working within the SMS scope and must be made available to interested parties who request it. It should be reviewed and re-approved annually at minimum, and whenever significant SMS changes occur. If a new version is released, the old version must be retained as a historical record (this is a documented information requirement).</w:t>
      </w:r>
    </w:p>
    <w:p>
      <w:pPr>
        <w:pBdr>
          <w:bottom w:val="single" w:color="2563A8" w:sz="4" w:space="4"/>
        </w:pBdr>
        <w:spacing w:after="160" w:before="400"/>
      </w:pPr>
      <w:r>
        <w:rPr>
          <w:rFonts w:ascii="Arial" w:cs="Arial" w:eastAsia="Arial" w:hAnsi="Arial"/>
          <w:b/>
          <w:bCs/>
          <w:caps w:val="false"/>
          <w:color w:val="1B3A5C"/>
          <w:sz w:val="28"/>
          <w:szCs w:val="28"/>
        </w:rPr>
        <w:t xml:space="preserve">Clause 5.3: Roles, Responsibilities, and Authorities</w:t>
      </w:r>
    </w:p>
    <w:p>
      <w:pPr>
        <w:spacing w:after="160" w:line="320"/>
        <w:jc w:val="both"/>
      </w:pPr>
      <w:r>
        <w:rPr>
          <w:rFonts w:ascii="Georgia" w:cs="Georgia" w:eastAsia="Georgia" w:hAnsi="Georgia"/>
          <w:b w:val="false"/>
          <w:bCs w:val="false"/>
          <w:color w:val="111827"/>
          <w:sz w:val="22"/>
          <w:szCs w:val="22"/>
        </w:rPr>
        <w:t xml:space="preserve">The organization must define and communicate the roles and responsibilities of all people contributing to the SMS. For most organizations, this extends across multiple teams and organizational levels: executive sponsors, service management directors, service managers, change coordinators, incident handlers, asset managers, and many others.</w:t>
      </w:r>
    </w:p>
    <w:p>
      <w:pPr>
        <w:spacing w:after="80" w:before="200"/>
      </w:pPr>
      <w:r>
        <w:rPr>
          <w:rFonts w:ascii="Arial" w:cs="Arial" w:eastAsia="Arial" w:hAnsi="Arial"/>
          <w:b/>
          <w:bCs/>
          <w:caps w:val="false"/>
          <w:color w:val="1B3A5C"/>
          <w:sz w:val="22"/>
          <w:szCs w:val="22"/>
        </w:rPr>
        <w:t xml:space="preserve">The Critical SMS Role</w:t>
      </w:r>
    </w:p>
    <w:p>
      <w:pPr>
        <w:spacing w:after="160" w:line="320"/>
        <w:jc w:val="both"/>
      </w:pPr>
      <w:r>
        <w:rPr>
          <w:rFonts w:ascii="Georgia" w:cs="Georgia" w:eastAsia="Georgia" w:hAnsi="Georgia"/>
          <w:b w:val="false"/>
          <w:bCs w:val="false"/>
          <w:color w:val="111827"/>
          <w:sz w:val="22"/>
          <w:szCs w:val="22"/>
        </w:rPr>
        <w:t xml:space="preserve">Clause 5.3 explicitly requires that one person (or a small team, but with clear individual accountability) be designated as responsible for ensuring the SMS achieves the requirements of ISO 20000 and that this person reports to top management on SMS performance and compliance. This is not the IT director (who may have broader IT infrastructure responsibilities) but the person who owns the SMS itself. In large organizations, this might be the Chief Service Officer or Service Management Director. In smaller organizations, it might be the SMS Coordinator or IT Manager. Critically, this person must have the authority to influence how services are designed and operated, not just observe and report.</w:t>
      </w:r>
    </w:p>
    <w:p>
      <w:pPr>
        <w:spacing w:after="80" w:before="200"/>
      </w:pPr>
      <w:r>
        <w:rPr>
          <w:rFonts w:ascii="Arial" w:cs="Arial" w:eastAsia="Arial" w:hAnsi="Arial"/>
          <w:b/>
          <w:bCs/>
          <w:caps w:val="false"/>
          <w:color w:val="1B3A5C"/>
          <w:sz w:val="22"/>
          <w:szCs w:val="22"/>
        </w:rPr>
        <w:t xml:space="preserve">How Roles Are Documented</w:t>
      </w:r>
    </w:p>
    <w:p>
      <w:pPr>
        <w:spacing w:after="160" w:line="320"/>
        <w:jc w:val="both"/>
      </w:pPr>
      <w:r>
        <w:rPr>
          <w:rFonts w:ascii="Georgia" w:cs="Georgia" w:eastAsia="Georgia" w:hAnsi="Georgia"/>
          <w:b w:val="false"/>
          <w:bCs w:val="false"/>
          <w:color w:val="111827"/>
          <w:sz w:val="22"/>
          <w:szCs w:val="22"/>
        </w:rPr>
        <w:t xml:space="preserve">Roles and responsibilities are typically documented through:</w:t>
      </w:r>
    </w:p>
    <w:p>
      <w:pPr>
        <w:spacing w:after="160" w:line="320"/>
        <w:jc w:val="both"/>
      </w:pPr>
      <w:r>
        <w:rPr>
          <w:rFonts w:ascii="Georgia" w:cs="Georgia" w:eastAsia="Georgia" w:hAnsi="Georgia"/>
          <w:b w:val="false"/>
          <w:bCs w:val="false"/>
          <w:color w:val="111827"/>
          <w:sz w:val="22"/>
          <w:szCs w:val="22"/>
        </w:rPr>
        <w:t xml:space="preserve">• An organizational chart showing service management positions and reporting lines</w:t>
      </w:r>
    </w:p>
    <w:p>
      <w:pPr>
        <w:spacing w:after="160" w:line="320"/>
        <w:jc w:val="both"/>
      </w:pPr>
      <w:r>
        <w:rPr>
          <w:rFonts w:ascii="Georgia" w:cs="Georgia" w:eastAsia="Georgia" w:hAnsi="Georgia"/>
          <w:b w:val="false"/>
          <w:bCs w:val="false"/>
          <w:color w:val="111827"/>
          <w:sz w:val="22"/>
          <w:szCs w:val="22"/>
        </w:rPr>
        <w:t xml:space="preserve">• A RACI matrix (Responsible, Accountable, Consulted, Informed) showing who has what role in key SMS processes (change management, incident management, problem management, release management, etc.)</w:t>
      </w:r>
    </w:p>
    <w:p>
      <w:pPr>
        <w:spacing w:after="160" w:line="320"/>
        <w:jc w:val="both"/>
      </w:pPr>
      <w:r>
        <w:rPr>
          <w:rFonts w:ascii="Georgia" w:cs="Georgia" w:eastAsia="Georgia" w:hAnsi="Georgia"/>
          <w:b w:val="false"/>
          <w:bCs w:val="false"/>
          <w:color w:val="111827"/>
          <w:sz w:val="22"/>
          <w:szCs w:val="22"/>
        </w:rPr>
        <w:t xml:space="preserve">• Position descriptions or role briefs for critical positions that detail SMS responsibilities, required competence, and accountability</w:t>
      </w:r>
    </w:p>
    <w:p>
      <w:pPr>
        <w:spacing w:after="160" w:line="320"/>
        <w:jc w:val="both"/>
      </w:pPr>
      <w:r>
        <w:rPr>
          <w:rFonts w:ascii="Georgia" w:cs="Georgia" w:eastAsia="Georgia" w:hAnsi="Georgia"/>
          <w:b w:val="false"/>
          <w:bCs w:val="false"/>
          <w:color w:val="111827"/>
          <w:sz w:val="22"/>
          <w:szCs w:val="22"/>
        </w:rPr>
        <w:t xml:space="preserve">• A service management governance structure that shows which forums make which decisions (e.g., the Change Advisory Board approves changes, the Problem Review Board escalates recurring issues, the Management Review Board assesses SMS performance)</w:t>
      </w:r>
    </w:p>
    <w:p>
      <w:pPr>
        <w:pBdr>
          <w:bottom w:val="single" w:color="2563A8" w:sz="4" w:space="4"/>
        </w:pBdr>
        <w:spacing w:after="160" w:before="400"/>
      </w:pPr>
      <w:r>
        <w:rPr>
          <w:rFonts w:ascii="Arial" w:cs="Arial" w:eastAsia="Arial" w:hAnsi="Arial"/>
          <w:b/>
          <w:bCs/>
          <w:caps w:val="false"/>
          <w:color w:val="1B3A5C"/>
          <w:sz w:val="28"/>
          <w:szCs w:val="28"/>
        </w:rPr>
        <w:t xml:space="preserve">How Top Management Demonstrates Commitment During an Audit</w:t>
      </w:r>
    </w:p>
    <w:p>
      <w:pPr>
        <w:spacing w:after="160" w:line="320"/>
        <w:jc w:val="both"/>
      </w:pPr>
      <w:r>
        <w:rPr>
          <w:rFonts w:ascii="Georgia" w:cs="Georgia" w:eastAsia="Georgia" w:hAnsi="Georgia"/>
          <w:b w:val="false"/>
          <w:bCs w:val="false"/>
          <w:color w:val="111827"/>
          <w:sz w:val="22"/>
          <w:szCs w:val="22"/>
        </w:rPr>
        <w:t xml:space="preserve">During a Stage 2 audit, auditors spend significant time with executives and department heads. They ask questions like: "Tell me about your role in the SMS." "What resources have you allocated?" "When was the service management policy last reviewed?" "Show me evidence of management review meetings." "What is the most important SMS objective for your organization?" Executives who can answer these questions with specifics (not vague generalities) demonstrate genuine commitment. Those who defer to the SMS manager or claim unfamiliarity with the SMS raise red flags.</w:t>
      </w:r>
    </w:p>
    <w:p>
      <w:pPr>
        <w:spacing w:after="80" w:before="200"/>
      </w:pPr>
      <w:r>
        <w:rPr>
          <w:rFonts w:ascii="Arial" w:cs="Arial" w:eastAsia="Arial" w:hAnsi="Arial"/>
          <w:b/>
          <w:bCs/>
          <w:caps w:val="false"/>
          <w:color w:val="1B3A5C"/>
          <w:sz w:val="22"/>
          <w:szCs w:val="22"/>
        </w:rPr>
        <w:t xml:space="preserve">Common Evidence Types</w:t>
      </w:r>
    </w:p>
    <w:p>
      <w:pPr>
        <w:spacing w:after="160" w:line="320"/>
        <w:jc w:val="both"/>
      </w:pPr>
      <w:r>
        <w:rPr>
          <w:rFonts w:ascii="Georgia" w:cs="Georgia" w:eastAsia="Georgia" w:hAnsi="Georgia"/>
          <w:b w:val="false"/>
          <w:bCs w:val="false"/>
          <w:color w:val="111827"/>
          <w:sz w:val="22"/>
          <w:szCs w:val="22"/>
        </w:rPr>
        <w:t xml:space="preserve">Auditors evaluate top management commitment through:</w:t>
      </w:r>
    </w:p>
    <w:p>
      <w:pPr>
        <w:spacing w:after="160" w:line="320"/>
        <w:jc w:val="both"/>
      </w:pPr>
      <w:r>
        <w:rPr>
          <w:rFonts w:ascii="Georgia" w:cs="Georgia" w:eastAsia="Georgia" w:hAnsi="Georgia"/>
          <w:b w:val="false"/>
          <w:bCs w:val="false"/>
          <w:color w:val="111827"/>
          <w:sz w:val="22"/>
          <w:szCs w:val="22"/>
        </w:rPr>
        <w:t xml:space="preserve">• Service management policy documents with executive signatures and approval dates</w:t>
      </w:r>
    </w:p>
    <w:p>
      <w:pPr>
        <w:spacing w:after="160" w:line="320"/>
        <w:jc w:val="both"/>
      </w:pPr>
      <w:r>
        <w:rPr>
          <w:rFonts w:ascii="Georgia" w:cs="Georgia" w:eastAsia="Georgia" w:hAnsi="Georgia"/>
          <w:b w:val="false"/>
          <w:bCs w:val="false"/>
          <w:color w:val="111827"/>
          <w:sz w:val="22"/>
          <w:szCs w:val="22"/>
        </w:rPr>
        <w:t xml:space="preserve">• Management review meeting minutes showing executive attendance and discussion of SMS performance</w:t>
      </w:r>
    </w:p>
    <w:p>
      <w:pPr>
        <w:spacing w:after="160" w:line="320"/>
        <w:jc w:val="both"/>
      </w:pPr>
      <w:r>
        <w:rPr>
          <w:rFonts w:ascii="Georgia" w:cs="Georgia" w:eastAsia="Georgia" w:hAnsi="Georgia"/>
          <w:b w:val="false"/>
          <w:bCs w:val="false"/>
          <w:color w:val="111827"/>
          <w:sz w:val="22"/>
          <w:szCs w:val="22"/>
        </w:rPr>
        <w:t xml:space="preserve">• Budget allocation records showing resources assigned to service management initiatives</w:t>
      </w:r>
    </w:p>
    <w:p>
      <w:pPr>
        <w:spacing w:after="160" w:line="320"/>
        <w:jc w:val="both"/>
      </w:pPr>
      <w:r>
        <w:rPr>
          <w:rFonts w:ascii="Georgia" w:cs="Georgia" w:eastAsia="Georgia" w:hAnsi="Georgia"/>
          <w:b w:val="false"/>
          <w:bCs w:val="false"/>
          <w:color w:val="111827"/>
          <w:sz w:val="22"/>
          <w:szCs w:val="22"/>
        </w:rPr>
        <w:t xml:space="preserve">• Organizational charts and role descriptions showing clear SMS accountability</w:t>
      </w:r>
    </w:p>
    <w:p>
      <w:pPr>
        <w:spacing w:after="160" w:line="320"/>
        <w:jc w:val="both"/>
      </w:pPr>
      <w:r>
        <w:rPr>
          <w:rFonts w:ascii="Georgia" w:cs="Georgia" w:eastAsia="Georgia" w:hAnsi="Georgia"/>
          <w:b w:val="false"/>
          <w:bCs w:val="false"/>
          <w:color w:val="111827"/>
          <w:sz w:val="22"/>
          <w:szCs w:val="22"/>
        </w:rPr>
        <w:t xml:space="preserve">• Communication evidence (emails, intranet posts, team meeting agendas) about SMS importance</w:t>
      </w:r>
    </w:p>
    <w:p>
      <w:pPr>
        <w:spacing w:after="160" w:line="320"/>
        <w:jc w:val="both"/>
      </w:pPr>
      <w:r>
        <w:rPr>
          <w:rFonts w:ascii="Georgia" w:cs="Georgia" w:eastAsia="Georgia" w:hAnsi="Georgia"/>
          <w:b w:val="false"/>
          <w:bCs w:val="false"/>
          <w:color w:val="111827"/>
          <w:sz w:val="22"/>
          <w:szCs w:val="22"/>
        </w:rPr>
        <w:t xml:space="preserve">• Change approval records showing executives reviewing and approving significant service changes</w:t>
      </w:r>
    </w:p>
    <w:p>
      <w:pPr>
        <w:spacing w:after="160" w:line="320"/>
        <w:jc w:val="both"/>
      </w:pPr>
      <w:r>
        <w:rPr>
          <w:rFonts w:ascii="Georgia" w:cs="Georgia" w:eastAsia="Georgia" w:hAnsi="Georgia"/>
          <w:b w:val="false"/>
          <w:bCs w:val="false"/>
          <w:color w:val="111827"/>
          <w:sz w:val="22"/>
          <w:szCs w:val="22"/>
        </w:rPr>
        <w:t xml:space="preserve">• Objective-setting records (strategic planning documents, scorecard reviews) showing service management objectives aligned to business goals</w:t>
      </w:r>
    </w:p>
    <w:p>
      <w:pPr>
        <w:pBdr>
          <w:bottom w:val="single" w:color="2563A8" w:sz="4" w:space="4"/>
        </w:pBdr>
        <w:spacing w:after="160" w:before="400"/>
      </w:pPr>
      <w:r>
        <w:rPr>
          <w:rFonts w:ascii="Arial" w:cs="Arial" w:eastAsia="Arial" w:hAnsi="Arial"/>
          <w:b/>
          <w:bCs/>
          <w:caps w:val="false"/>
          <w:color w:val="1B3A5C"/>
          <w:sz w:val="28"/>
          <w:szCs w:val="28"/>
        </w:rPr>
        <w:t xml:space="preserve">The Governance Gap</w:t>
      </w:r>
    </w:p>
    <w:p>
      <w:pPr>
        <w:spacing w:after="160" w:line="320"/>
        <w:jc w:val="both"/>
      </w:pPr>
      <w:r>
        <w:rPr>
          <w:rFonts w:ascii="Georgia" w:cs="Georgia" w:eastAsia="Georgia" w:hAnsi="Georgia"/>
          <w:b w:val="false"/>
          <w:bCs w:val="false"/>
          <w:color w:val="111827"/>
          <w:sz w:val="22"/>
          <w:szCs w:val="22"/>
        </w:rPr>
        <w:t xml:space="preserve">The most important distinction in Clause 5 is between organizations where leadership genuinely owns the SMS and those where it is delegated entirely to a compliance team. In the former, executives take service management as a core business discipline. In the latter, the SMS becomes a checkbox exercise: the SMS team documents processes, maintains records, and conducts internal audits, but executives are not engaged in day-to-day service management decisions.</w:t>
      </w:r>
    </w:p>
    <w:p>
      <w:pPr>
        <w:spacing w:after="160" w:line="320"/>
        <w:jc w:val="both"/>
      </w:pPr>
      <w:r>
        <w:rPr>
          <w:rFonts w:ascii="Georgia" w:cs="Georgia" w:eastAsia="Georgia" w:hAnsi="Georgia"/>
          <w:b w:val="false"/>
          <w:bCs w:val="false"/>
          <w:color w:val="111827"/>
          <w:sz w:val="22"/>
          <w:szCs w:val="22"/>
        </w:rPr>
        <w:t xml:space="preserve">The governance gap becomes painfully obvious during an external audit. When auditors interview the CFO and ask "How do you use service management data to manage IT cost?" or interview the Chief Risk Officer and ask "How is service management integrated with your risk management framework?" and receive blank stares, the auditor knows the SMS is not truly owned by leadership.</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IMPORTANT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Auditors test top management commitment directly—not just through the SMS manager, but through interviews with executives, board members, and department heads. Executives should be able to articulate the service management policy, explain how their decisions reflect commitment to the SMS, and discuss SMS objectives in the context of broader business strategy. Weak or absent executive engagement is a leading cause of Clause 5 non-conformities.</w:t>
            </w:r>
          </w:p>
        </w:tc>
      </w:tr>
    </w:tbl>
    <w:p>
      <w:pPr>
        <w:pBdr>
          <w:bottom w:val="single" w:color="2563A8" w:sz="4" w:space="4"/>
        </w:pBdr>
        <w:spacing w:after="160" w:before="400"/>
      </w:pPr>
      <w:r>
        <w:rPr>
          <w:rFonts w:ascii="Arial" w:cs="Arial" w:eastAsia="Arial" w:hAnsi="Arial"/>
          <w:b/>
          <w:bCs/>
          <w:caps w:val="false"/>
          <w:color w:val="1B3A5C"/>
          <w:sz w:val="28"/>
          <w:szCs w:val="28"/>
        </w:rPr>
        <w:t xml:space="preserve">Practical Guidance: Engaging Top Management Effectively</w:t>
      </w:r>
    </w:p>
    <w:p>
      <w:pPr>
        <w:spacing w:after="160" w:line="320"/>
        <w:jc w:val="both"/>
      </w:pPr>
      <w:r>
        <w:rPr>
          <w:rFonts w:ascii="Georgia" w:cs="Georgia" w:eastAsia="Georgia" w:hAnsi="Georgia"/>
          <w:b w:val="false"/>
          <w:bCs w:val="false"/>
          <w:color w:val="111827"/>
          <w:sz w:val="22"/>
          <w:szCs w:val="22"/>
        </w:rPr>
        <w:t xml:space="preserve">To establish genuine top management commitment to the SMS:</w:t>
      </w:r>
    </w:p>
    <w:p>
      <w:pPr>
        <w:spacing w:after="160" w:line="320"/>
        <w:jc w:val="both"/>
      </w:pPr>
      <w:r>
        <w:rPr>
          <w:rFonts w:ascii="Georgia" w:cs="Georgia" w:eastAsia="Georgia" w:hAnsi="Georgia"/>
          <w:b w:val="false"/>
          <w:bCs w:val="false"/>
          <w:color w:val="111827"/>
          <w:sz w:val="22"/>
          <w:szCs w:val="22"/>
        </w:rPr>
        <w:t xml:space="preserve">1. Start with executive education. Before expecting commitment, leaders must understand what ISO 20000 requires and why. Conduct a workshop explaining the standard, the benefits of effective service management, and the implications of non-compliance.</w:t>
      </w:r>
    </w:p>
    <w:p>
      <w:pPr>
        <w:spacing w:after="160" w:line="320"/>
        <w:jc w:val="both"/>
      </w:pPr>
      <w:r>
        <w:rPr>
          <w:rFonts w:ascii="Georgia" w:cs="Georgia" w:eastAsia="Georgia" w:hAnsi="Georgia"/>
          <w:b w:val="false"/>
          <w:bCs w:val="false"/>
          <w:color w:val="111827"/>
          <w:sz w:val="22"/>
          <w:szCs w:val="22"/>
        </w:rPr>
        <w:t xml:space="preserve">2. Secure executive sponsorship. Identify a C-level executive (CIO, COO, or VP Service Delivery) who will champion the SMS. This person must have genuine authority to allocate resources and influence organizational decisions.</w:t>
      </w:r>
    </w:p>
    <w:p>
      <w:pPr>
        <w:spacing w:after="160" w:line="320"/>
        <w:jc w:val="both"/>
      </w:pPr>
      <w:r>
        <w:rPr>
          <w:rFonts w:ascii="Georgia" w:cs="Georgia" w:eastAsia="Georgia" w:hAnsi="Georgia"/>
          <w:b w:val="false"/>
          <w:bCs w:val="false"/>
          <w:color w:val="111827"/>
          <w:sz w:val="22"/>
          <w:szCs w:val="22"/>
        </w:rPr>
        <w:t xml:space="preserve">3. Co-develop the service management policy and objectives with top management. Do not write it in isolation and present it for signature. Hold a facilitated session with executives to define what the organization commits to and what outcomes matter most.</w:t>
      </w:r>
    </w:p>
    <w:p>
      <w:pPr>
        <w:spacing w:after="160" w:line="320"/>
        <w:jc w:val="both"/>
      </w:pPr>
      <w:r>
        <w:rPr>
          <w:rFonts w:ascii="Georgia" w:cs="Georgia" w:eastAsia="Georgia" w:hAnsi="Georgia"/>
          <w:b w:val="false"/>
          <w:bCs w:val="false"/>
          <w:color w:val="111827"/>
          <w:sz w:val="22"/>
          <w:szCs w:val="22"/>
        </w:rPr>
        <w:t xml:space="preserve">4. Establish a formal governance structure for SMS oversight. Create a Service Management Steering Committee that includes executives, meets monthly or quarterly, reviews SMS performance data, approves significant changes to the SMS, and oversees improvement initiatives.</w:t>
      </w:r>
    </w:p>
    <w:p>
      <w:pPr>
        <w:spacing w:after="160" w:line="320"/>
        <w:jc w:val="both"/>
      </w:pPr>
      <w:r>
        <w:rPr>
          <w:rFonts w:ascii="Georgia" w:cs="Georgia" w:eastAsia="Georgia" w:hAnsi="Georgia"/>
          <w:b w:val="false"/>
          <w:bCs w:val="false"/>
          <w:color w:val="111827"/>
          <w:sz w:val="22"/>
          <w:szCs w:val="22"/>
        </w:rPr>
        <w:t xml:space="preserve">5. Embed service management into existing executive forums. Rather than creating a separate SMS governance body, integrate SMS discussions into existing executive meetings (quarterly business reviews, risk committee, strategic planning sessions).</w:t>
      </w:r>
    </w:p>
    <w:p>
      <w:pPr>
        <w:spacing w:after="160" w:line="320"/>
        <w:jc w:val="both"/>
      </w:pPr>
      <w:r>
        <w:rPr>
          <w:rFonts w:ascii="Georgia" w:cs="Georgia" w:eastAsia="Georgia" w:hAnsi="Georgia"/>
          <w:b w:val="false"/>
          <w:bCs w:val="false"/>
          <w:color w:val="111827"/>
          <w:sz w:val="22"/>
          <w:szCs w:val="22"/>
        </w:rPr>
        <w:t xml:space="preserve">6. Define and communicate the critical SMS role. The person responsible for ensuring SMS compliance must have a clear mandate, adequate resources, and direct access to top management. Position this person as a peer to other service directors, not subordinate.</w:t>
      </w:r>
    </w:p>
    <w:p>
      <w:pPr>
        <w:spacing w:after="160" w:line="320"/>
        <w:jc w:val="both"/>
      </w:pPr>
      <w:r>
        <w:rPr>
          <w:rFonts w:ascii="Georgia" w:cs="Georgia" w:eastAsia="Georgia" w:hAnsi="Georgia"/>
          <w:b w:val="false"/>
          <w:bCs w:val="false"/>
          <w:color w:val="111827"/>
          <w:sz w:val="22"/>
          <w:szCs w:val="22"/>
        </w:rPr>
        <w:t xml:space="preserve">7. Include service management in executive incentives. If executive bonuses or performance ratings are tied to IT cost reduction, uptime improvements, or customer satisfaction, executives will naturally prioritize service management. If it is disconnected from their incentive structure, commitment will be superficial.</w:t>
      </w:r>
    </w:p>
    <w:p>
      <w:pPr>
        <w:pBdr>
          <w:bottom w:val="single" w:color="2563A8" w:sz="4" w:space="4"/>
        </w:pBdr>
        <w:spacing w:after="160" w:before="400"/>
      </w:pPr>
      <w:r>
        <w:rPr>
          <w:rFonts w:ascii="Arial" w:cs="Arial" w:eastAsia="Arial" w:hAnsi="Arial"/>
          <w:b/>
          <w:bCs/>
          <w:caps w:val="false"/>
          <w:color w:val="1B3A5C"/>
          <w:sz w:val="28"/>
          <w:szCs w:val="28"/>
        </w:rPr>
        <w:t xml:space="preserve">Service Management Policy Review Cadence</w:t>
      </w:r>
    </w:p>
    <w:p>
      <w:pPr>
        <w:spacing w:after="160" w:line="320"/>
        <w:jc w:val="both"/>
      </w:pPr>
      <w:r>
        <w:rPr>
          <w:rFonts w:ascii="Georgia" w:cs="Georgia" w:eastAsia="Georgia" w:hAnsi="Georgia"/>
          <w:b w:val="false"/>
          <w:bCs w:val="false"/>
          <w:color w:val="111827"/>
          <w:sz w:val="22"/>
          <w:szCs w:val="22"/>
        </w:rPr>
        <w:t xml:space="preserve">The policy should be reviewed at least annually and whenever significant changes to the SMS scope, structure, or context occur. A formal review process might include:</w:t>
      </w:r>
    </w:p>
    <w:p>
      <w:pPr>
        <w:spacing w:after="160" w:line="320"/>
        <w:jc w:val="both"/>
      </w:pPr>
      <w:r>
        <w:rPr>
          <w:rFonts w:ascii="Georgia" w:cs="Georgia" w:eastAsia="Georgia" w:hAnsi="Georgia"/>
          <w:b w:val="false"/>
          <w:bCs w:val="false"/>
          <w:color w:val="111827"/>
          <w:sz w:val="22"/>
          <w:szCs w:val="22"/>
        </w:rPr>
        <w:t xml:space="preserve">• Quarterly governance meetings that assess whether the policy remains appropriate given current organizational context</w:t>
      </w:r>
    </w:p>
    <w:p>
      <w:pPr>
        <w:spacing w:after="160" w:line="320"/>
        <w:jc w:val="both"/>
      </w:pPr>
      <w:r>
        <w:rPr>
          <w:rFonts w:ascii="Georgia" w:cs="Georgia" w:eastAsia="Georgia" w:hAnsi="Georgia"/>
          <w:b w:val="false"/>
          <w:bCs w:val="false"/>
          <w:color w:val="111827"/>
          <w:sz w:val="22"/>
          <w:szCs w:val="22"/>
        </w:rPr>
        <w:t xml:space="preserve">• Annual formal policy review with executive sign-off</w:t>
      </w:r>
    </w:p>
    <w:p>
      <w:pPr>
        <w:spacing w:after="160" w:line="320"/>
        <w:jc w:val="both"/>
      </w:pPr>
      <w:r>
        <w:rPr>
          <w:rFonts w:ascii="Georgia" w:cs="Georgia" w:eastAsia="Georgia" w:hAnsi="Georgia"/>
          <w:b w:val="false"/>
          <w:bCs w:val="false"/>
          <w:color w:val="111827"/>
          <w:sz w:val="22"/>
          <w:szCs w:val="22"/>
        </w:rPr>
        <w:t xml:space="preserve">• Immediate review and update if the organization acquires new services, undergoes restructuring, faces new regulatory requirements, or experiences significant incidents that reveal policy gaps</w:t>
      </w:r>
    </w:p>
    <w:p>
      <w:pPr>
        <w:pBdr>
          <w:bottom w:val="single" w:color="2563A8" w:sz="4" w:space="4"/>
        </w:pBdr>
        <w:spacing w:after="160" w:before="400"/>
      </w:pPr>
      <w:r>
        <w:rPr>
          <w:rFonts w:ascii="Arial" w:cs="Arial" w:eastAsia="Arial" w:hAnsi="Arial"/>
          <w:b/>
          <w:bCs/>
          <w:caps w:val="false"/>
          <w:color w:val="1B3A5C"/>
          <w:sz w:val="28"/>
          <w:szCs w:val="28"/>
        </w:rPr>
        <w:t xml:space="preserve">Top Management Commitment Evidence Matrix</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rPr>
          <w:tblHeader/>
        </w:trPr>
        <w:tc>
          <w:tcPr>
            <w:tcW w:type="dxa" w:w="312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Clause 5 Requirement</w:t>
            </w:r>
          </w:p>
        </w:tc>
        <w:tc>
          <w:tcPr>
            <w:tcW w:type="dxa" w:w="312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How Demonstrated</w:t>
            </w:r>
          </w:p>
        </w:tc>
        <w:tc>
          <w:tcPr>
            <w:tcW w:type="dxa" w:w="312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Audit Evidence Type</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Establishing SMS policy and objectives</w:t>
            </w:r>
          </w:p>
        </w:tc>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Policy document signed by CEO or board; annual review meeting minutes</w:t>
            </w:r>
          </w:p>
        </w:tc>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Signed policy, management review minutes, objective approval records</w:t>
            </w:r>
          </w:p>
        </w:tc>
      </w:tr>
      <w:tr>
        <w:tc>
          <w:tcPr>
            <w:tcW w:type="dxa" w:w="312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Integration with business processes</w:t>
            </w:r>
          </w:p>
        </w:tc>
        <w:tc>
          <w:tcPr>
            <w:tcW w:type="dxa" w:w="312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Service management plan aligned to business strategy; services included in IT governance</w:t>
            </w:r>
          </w:p>
        </w:tc>
        <w:tc>
          <w:tcPr>
            <w:tcW w:type="dxa" w:w="312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SMP document, strategic planning minutes, executive alignment records</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Determining and providing resources</w:t>
            </w:r>
          </w:p>
        </w:tc>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Budget allocation to SMS initiatives; staffing plan approved; tools procured</w:t>
            </w:r>
          </w:p>
        </w:tc>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Budget records, staffing approvals, procurement orders, tool license agreements</w:t>
            </w:r>
          </w:p>
        </w:tc>
      </w:tr>
      <w:tr>
        <w:tc>
          <w:tcPr>
            <w:tcW w:type="dxa" w:w="312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Communicating importance</w:t>
            </w:r>
          </w:p>
        </w:tc>
        <w:tc>
          <w:tcPr>
            <w:tcW w:type="dxa" w:w="312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Induction training, team meetings, email communications, intranet posts</w:t>
            </w:r>
          </w:p>
        </w:tc>
        <w:tc>
          <w:tcPr>
            <w:tcW w:type="dxa" w:w="312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Training attendance records, communication archives, employee surveys</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Achieving intended outcomes</w:t>
            </w:r>
          </w:p>
        </w:tc>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SMS objectives tracked in management review; performance data reviewed quarterly</w:t>
            </w:r>
          </w:p>
        </w:tc>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Management review minutes, performance dashboards, objective tracking records</w:t>
            </w:r>
          </w:p>
        </w:tc>
      </w:tr>
      <w:tr>
        <w:tc>
          <w:tcPr>
            <w:tcW w:type="dxa" w:w="312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Directing and supporting people</w:t>
            </w:r>
          </w:p>
        </w:tc>
        <w:tc>
          <w:tcPr>
            <w:tcW w:type="dxa" w:w="312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Clear roles assigned; training provided; performance expectations set</w:t>
            </w:r>
          </w:p>
        </w:tc>
        <w:tc>
          <w:tcPr>
            <w:tcW w:type="dxa" w:w="312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Job descriptions, RACI matrix, training records, performance reviews</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Promoting continual improvement</w:t>
            </w:r>
          </w:p>
        </w:tc>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Improvement initiatives funded and tracked; lessons learned from incidents and audits</w:t>
            </w:r>
          </w:p>
        </w:tc>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Improvement project records, budget allocations, lessons learned register</w:t>
            </w:r>
          </w:p>
        </w:tc>
      </w:tr>
      <w:tr>
        <w:tc>
          <w:tcPr>
            <w:tcW w:type="dxa" w:w="312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Supporting other managers</w:t>
            </w:r>
          </w:p>
        </w:tc>
        <w:tc>
          <w:tcPr>
            <w:tcW w:type="dxa" w:w="312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Executives participate in governance forums; resources directed to SMS projects</w:t>
            </w:r>
          </w:p>
        </w:tc>
        <w:tc>
          <w:tcPr>
            <w:tcW w:type="dxa" w:w="312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Meeting attendance records, governance structure documentation, resource allocation records</w:t>
            </w:r>
          </w:p>
        </w:tc>
      </w:tr>
    </w:tbl>
    <w:p>
      <w:pPr>
        <w:spacing w:after="2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BITLION INSIGHT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Bitlion GRC provides a management review module that automates the tracking of top management commitment evidence. Use the policy management feature to version and distribute the service management policy, track review dates, and document approval. The governance framework templates help define roles, responsibilities, and decision-making authority clearly.</w:t>
            </w:r>
          </w:p>
        </w:tc>
      </w:tr>
    </w:tbl>
    <w:p>
      <w:pPr>
        <w:pBdr>
          <w:bottom w:val="single" w:color="2563A8" w:sz="4" w:space="4"/>
        </w:pBdr>
        <w:spacing w:after="160" w:before="400"/>
      </w:pPr>
      <w:r>
        <w:rPr>
          <w:rFonts w:ascii="Arial" w:cs="Arial" w:eastAsia="Arial" w:hAnsi="Arial"/>
          <w:b/>
          <w:bCs/>
          <w:caps w:val="false"/>
          <w:color w:val="1B3A5C"/>
          <w:sz w:val="28"/>
          <w:szCs w:val="28"/>
        </w:rPr>
        <w:t xml:space="preserve">Conclusion</w:t>
      </w:r>
    </w:p>
    <w:p>
      <w:pPr>
        <w:spacing w:after="160" w:line="320"/>
        <w:jc w:val="both"/>
      </w:pPr>
      <w:r>
        <w:rPr>
          <w:rFonts w:ascii="Georgia" w:cs="Georgia" w:eastAsia="Georgia" w:hAnsi="Georgia"/>
          <w:b w:val="false"/>
          <w:bCs w:val="false"/>
          <w:color w:val="111827"/>
          <w:sz w:val="22"/>
          <w:szCs w:val="22"/>
        </w:rPr>
        <w:t xml:space="preserve">Clause 5 transforms service management from a technical IT function into a business discipline owned by top management. It requires executives to articulate why service management matters, allocate resources to support it, integrate it into business processes, and publicly champion it across the organization. Organizations that establish genuine top management commitment to service management find that subsequent clauses (planning, support, operations) are easier to implement because leadership actively removes obstacles and reinforces expectations. Those that treat service management as an IT compliance exercise struggle through implementation and often find that the SMS lacks the organizational muscle to effect real improvements. The quality of top management commitment, as demonstrated across the eight dimensions in Clause 5.1, is one of the strongest predictors of SMS effectiveness and audit success.</w:t>
      </w:r>
    </w:p>
    <w:p>
      <w:pPr>
        <w:spacing w:after="200"/>
      </w:pPr>
      <w:r>
        <w:t xml:space="preserve"/>
      </w:r>
    </w:p>
    <w:p>
      <w:pPr>
        <w:spacing w:after="200"/>
      </w:pPr>
      <w:r>
        <w:t xml:space="preserve"/>
      </w:r>
    </w:p>
    <w:p>
      <w:pPr>
        <w:pBdr>
          <w:bottom w:val="single" w:color="D1D5DB" w:sz="2" w:space="1"/>
        </w:pBdr>
        <w:spacing w:after="200" w:before="200"/>
      </w:pPr>
      <w:r>
        <w:t xml:space="preserve"/>
      </w:r>
    </w:p>
    <w:p>
      <w:pPr>
        <w:spacing w:after="80"/>
      </w:pPr>
      <w:r>
        <w:t xml:space="preserve"/>
      </w:r>
    </w:p>
    <w:p>
      <w:pPr>
        <w:spacing w:after="40"/>
        <w:jc w:val="center"/>
      </w:pPr>
      <w:r>
        <w:rPr>
          <w:rFonts w:ascii="Arial" w:cs="Arial" w:hAnsi="Arial"/>
          <w:color w:val="9CA3AF"/>
          <w:sz w:val="17"/>
          <w:szCs w:val="17"/>
        </w:rPr>
        <w:t xml:space="preserve">ISO 20000 SMS Knowledge Hub  ·  Bitlion GRC Platform  ·  © 2026</w:t>
      </w:r>
    </w:p>
    <w:p>
      <w:pPr>
        <w:jc w:val="center"/>
      </w:pPr>
      <w:r>
        <w:rPr>
          <w:rFonts w:ascii="Arial" w:cs="Arial" w:hAnsi="Arial"/>
          <w:color w:val="9CA3AF"/>
          <w:sz w:val="17"/>
          <w:szCs w:val="17"/>
        </w:rPr>
        <w:t xml:space="preserve">This document is part of the Bitlion open compliance Knowledge Hub.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2026-04-05T09:33:05.124Z</dcterms:created>
  <dcterms:modified xsi:type="dcterms:W3CDTF">2026-04-05T09:33:05.124Z</dcterms:modified>
</cp:coreProperties>
</file>

<file path=docProps/custom.xml><?xml version="1.0" encoding="utf-8"?>
<Properties xmlns="http://schemas.openxmlformats.org/officeDocument/2006/custom-properties" xmlns:vt="http://schemas.openxmlformats.org/officeDocument/2006/docPropsVTypes"/>
</file>